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7F90" w14:textId="77777777" w:rsidR="004759F3" w:rsidRDefault="00C26CAA" w:rsidP="004759F3">
      <w:pPr>
        <w:pStyle w:val="1"/>
        <w:numPr>
          <w:ilvl w:val="0"/>
          <w:numId w:val="0"/>
        </w:numPr>
        <w:rPr>
          <w:lang w:val="el-GR"/>
        </w:rPr>
      </w:pPr>
      <w:bookmarkStart w:id="0" w:name="_Ref451173053"/>
      <w:bookmarkStart w:id="1" w:name="_Ref451174576"/>
      <w:bookmarkStart w:id="2" w:name="_Ref451347598"/>
      <w:bookmarkStart w:id="3" w:name="_Toc459114997"/>
      <w:r w:rsidRPr="00B43390">
        <w:rPr>
          <w:lang w:val="el-GR"/>
        </w:rPr>
        <w:t xml:space="preserve">                                            </w:t>
      </w:r>
      <w:r>
        <w:rPr>
          <w:lang w:val="el-GR"/>
        </w:rPr>
        <w:t xml:space="preserve">                  </w:t>
      </w:r>
      <w:r w:rsidRPr="00B43390">
        <w:rPr>
          <w:lang w:val="el-GR"/>
        </w:rPr>
        <w:t xml:space="preserve">  </w:t>
      </w:r>
      <w:r w:rsidR="004759F3" w:rsidRPr="004759F3">
        <w:rPr>
          <w:lang w:val="el-GR"/>
        </w:rPr>
        <w:t>ΠΑΡΑΡΤΗΜΑ ΙΙ: ΕΝΤΥΠΟ ΙΙ 4</w:t>
      </w:r>
    </w:p>
    <w:p w14:paraId="58161868" w14:textId="64947AD1" w:rsidR="00C5756E" w:rsidRPr="009C671D" w:rsidRDefault="00C5756E" w:rsidP="004759F3">
      <w:pPr>
        <w:pStyle w:val="1"/>
        <w:numPr>
          <w:ilvl w:val="0"/>
          <w:numId w:val="0"/>
        </w:numPr>
        <w:rPr>
          <w:lang w:val="el-GR"/>
        </w:rPr>
      </w:pPr>
      <w:r w:rsidRPr="009C671D">
        <w:rPr>
          <w:lang w:val="el-GR"/>
        </w:rPr>
        <w:t xml:space="preserve">Ορισμός προβληματικών </w:t>
      </w:r>
      <w:bookmarkEnd w:id="0"/>
      <w:bookmarkEnd w:id="1"/>
      <w:r w:rsidRPr="009C671D">
        <w:rPr>
          <w:lang w:val="el-GR"/>
        </w:rPr>
        <w:t>επιχειρήσεων</w:t>
      </w:r>
      <w:bookmarkEnd w:id="2"/>
      <w:bookmarkEnd w:id="3"/>
      <w:r w:rsidRPr="009C671D">
        <w:rPr>
          <w:lang w:val="el-GR"/>
        </w:rPr>
        <w:t xml:space="preserve"> </w:t>
      </w:r>
    </w:p>
    <w:p w14:paraId="62B3321C" w14:textId="77777777" w:rsidR="00C5756E" w:rsidRPr="00C26CAA" w:rsidRDefault="00C5756E" w:rsidP="00C5756E">
      <w:pPr>
        <w:spacing w:line="276" w:lineRule="auto"/>
        <w:rPr>
          <w:rFonts w:ascii="Verdana" w:hAnsi="Verdana" w:cs="Arial"/>
          <w:lang w:val="el-GR"/>
        </w:rPr>
      </w:pPr>
      <w:r w:rsidRPr="00FE02F5">
        <w:rPr>
          <w:rFonts w:ascii="Verdana" w:hAnsi="Verdana" w:cs="Arial"/>
          <w:lang w:val="el-GR"/>
        </w:rPr>
        <w:t>Α) Προβληματική επιχείρηση: η επιχείρηση για την οποία συντρέχει τουλάχιστον μία από τις ακόλουθες προϋποθέσεις:</w:t>
      </w:r>
    </w:p>
    <w:p w14:paraId="0F963E55" w14:textId="77777777" w:rsidR="008707DA" w:rsidRPr="00C26CAA" w:rsidRDefault="008707DA" w:rsidP="00C5756E">
      <w:pPr>
        <w:spacing w:line="276" w:lineRule="auto"/>
        <w:rPr>
          <w:rFonts w:ascii="Verdana" w:hAnsi="Verdana" w:cs="Arial"/>
          <w:lang w:val="el-GR"/>
        </w:rPr>
      </w:pPr>
    </w:p>
    <w:p w14:paraId="11E1F469"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α) εάν πρόκειται για εταιρεία περιορισμένης ευθύνης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όταν έχει απολεσθεί πάνω από το ήμισυ του εγγεγραμμένου της κεφαλαίου λόγω συσσωρευμένων ζημιών. Αυτό ισχύει όταν από την αφαίρεση των συσσωρευμένων ζημιών από τα αποθεματικά (και όλα τα άλλα στοιχεία που θεωρούνται εν γένει ως μέρος των ιδίων κεφαλαίων της εταιρείας) προκύπτει αρνητικό σωρευτικό ποσό που υπερβαίνει το ήμισυ του εγγεγραμμένου κεφαλαίου. Για την εφαρμογή της παρούσας διάταξης, ο όρος «εταιρεία περιορισμένης ευθύνης» παραπέμπει ειδικότερα στα είδη εταιρειών που αναφέρονται στο παράρτημα I της οδηγίας 2013/34/ΕΕ του Ευρωπαϊκού Κοινοβουλίου και του Συμβουλίου (1) και ο όρος «κεφάλαιο» περιλαμβάνει, ενδεχομένως, και κάθε διαφορά από έκδοση υπέρ το άρτιο·</w:t>
      </w:r>
    </w:p>
    <w:p w14:paraId="246A1618" w14:textId="77777777" w:rsidR="00C5756E" w:rsidRPr="00FE02F5" w:rsidRDefault="00C5756E" w:rsidP="00C5756E">
      <w:pPr>
        <w:spacing w:line="276" w:lineRule="auto"/>
        <w:rPr>
          <w:rFonts w:ascii="Verdana" w:hAnsi="Verdana" w:cs="Arial"/>
          <w:lang w:val="el-GR"/>
        </w:rPr>
      </w:pPr>
    </w:p>
    <w:p w14:paraId="14DE682B"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β) εάν πρόκειται για εταιρεία στην οποία τουλάχιστον ορισμένα μέλη έχουν απεριόριστη ευθύνη για τα χρέη της εταιρείας (πλην ΜΜΕ που δεν έχει συμπληρώσει τριετία από τη σύστασή της ή, όσον αφορά την επιλεξιμότητα για ενίσχυση χρηματοδότησης επιχειρηματικού κινδύνου, ΜΜΕ που δεν έχει συμπληρώσει επταετία από την πρώτη εμπορική της πώληση, η οποία πληροί τα κριτήρια για επενδύσεις χρηματοδότησης επιχειρηματικού κινδύνου κατόπιν ελέγχου με τη δέουσα επιμέλεια από τον επιλεγμένο ενδιάμεσο χρηματοπιστωτικό οργανισμό), εφόσον έχει απολεσθεί πάνω από το ήμισυ του κεφαλαίου της, όπως εμφαίνεται στους λογαριασμούς της εταιρείας, λόγω συσσωρευμένων ζημιών. Για την εφαρμογή της παρούσας διάταξης, ο όρος «εταιρεία στην οποία τουλάχιστον ορισμένα μέλη έχουν απεριόριστη ευθύνη για τα χρέη της εταιρείας» παραπέμπει ειδικότερα στα είδη εταιρειών που αναφέρονται στο παράρτημα II της οδηγίας 2013/34/ΕΕ·</w:t>
      </w:r>
    </w:p>
    <w:p w14:paraId="334EFE1B" w14:textId="77777777" w:rsidR="00C5756E" w:rsidRPr="00FE02F5" w:rsidRDefault="00C5756E" w:rsidP="00C5756E">
      <w:pPr>
        <w:spacing w:line="276" w:lineRule="auto"/>
        <w:rPr>
          <w:rFonts w:ascii="Verdana" w:hAnsi="Verdana" w:cs="Arial"/>
          <w:lang w:val="el-GR"/>
        </w:rPr>
      </w:pPr>
    </w:p>
    <w:p w14:paraId="78772C65"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γ) εάν πρόκειται για εταιρεία που υπάγεται σε συλλογική πτωχευτική διαδικασία ή πληροί τις προϋποθέσεις του εθνικού δικαίου που τη διέπει όσον αφορά την υπαγωγή της σε συλλογική πτωχευτική διαδικασία μετά από αίτημα των</w:t>
      </w:r>
    </w:p>
    <w:p w14:paraId="0EEF0FB0"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πιστωτών της·</w:t>
      </w:r>
    </w:p>
    <w:p w14:paraId="0439831F" w14:textId="77777777" w:rsidR="00C5756E" w:rsidRPr="00FE02F5" w:rsidRDefault="00C5756E" w:rsidP="00C5756E">
      <w:pPr>
        <w:spacing w:line="276" w:lineRule="auto"/>
        <w:rPr>
          <w:rFonts w:ascii="Verdana" w:hAnsi="Verdana" w:cs="Arial"/>
          <w:lang w:val="el-GR"/>
        </w:rPr>
      </w:pPr>
    </w:p>
    <w:p w14:paraId="2D67E7DF"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δ) εάν πρόκειται για επιχείρηση που έχει λάβει ενίσχυση διάσωσης και δεν έχει ακόμη αποπληρώσει το δάνειο ή λύσει τη σύμβαση εγγύησης ή που έχει λάβει ενίσχυση αναδιάρθρωσης και υπόκειται ακόμη σε σχέδιο αναδιάρθρωσης·</w:t>
      </w:r>
    </w:p>
    <w:p w14:paraId="063724EA" w14:textId="77777777" w:rsidR="00C5756E" w:rsidRPr="00FE02F5" w:rsidRDefault="00C5756E" w:rsidP="00C5756E">
      <w:pPr>
        <w:spacing w:line="276" w:lineRule="auto"/>
        <w:rPr>
          <w:rFonts w:ascii="Verdana" w:hAnsi="Verdana" w:cs="Arial"/>
          <w:lang w:val="el-GR"/>
        </w:rPr>
      </w:pPr>
    </w:p>
    <w:p w14:paraId="0C8FE2C1"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ε) εάν πρόκειται για άλλη επιχείρηση εκτός ΜΜΕ, εφόσον τα τελευταία δύο έτη:</w:t>
      </w:r>
    </w:p>
    <w:p w14:paraId="06FAAD01"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1) ο δείκτης χρέους προς ίδια κεφάλαια της επιχείρησης είναι υψηλότερος του 7,5 και</w:t>
      </w:r>
    </w:p>
    <w:p w14:paraId="59CBBD41" w14:textId="77777777" w:rsidR="00C5756E" w:rsidRPr="00DA0410" w:rsidRDefault="00C5756E" w:rsidP="00C5756E">
      <w:pPr>
        <w:spacing w:line="276" w:lineRule="auto"/>
        <w:rPr>
          <w:rFonts w:ascii="Verdana" w:hAnsi="Verdana" w:cs="Arial"/>
          <w:lang w:val="el-GR"/>
        </w:rPr>
      </w:pPr>
      <w:r w:rsidRPr="00FE02F5">
        <w:rPr>
          <w:rFonts w:ascii="Verdana" w:hAnsi="Verdana" w:cs="Arial"/>
          <w:lang w:val="el-GR"/>
        </w:rPr>
        <w:t>2) ο δείκτης κάλυψης χρηματοοικονομικών υποχρεώσεων της επιχείρησης (EBITDA interest coverage ratio) είναι κάτω του 1,0.</w:t>
      </w:r>
    </w:p>
    <w:p w14:paraId="782841CC" w14:textId="77777777" w:rsidR="00C5756E" w:rsidRPr="00283D38" w:rsidRDefault="00C5756E" w:rsidP="00C5756E">
      <w:pPr>
        <w:spacing w:line="276" w:lineRule="auto"/>
        <w:rPr>
          <w:rFonts w:ascii="Verdana" w:hAnsi="Verdana" w:cs="Arial"/>
          <w:lang w:val="el-GR"/>
        </w:rPr>
      </w:pPr>
      <w:r w:rsidRPr="00DA0410">
        <w:rPr>
          <w:rFonts w:ascii="Verdana" w:hAnsi="Verdana" w:cs="Arial"/>
          <w:lang w:val="el-GR"/>
        </w:rPr>
        <w:t>Η εξέταση μιας επιχείρησης για να διαπιστωθεί αν αυτή είναι προβληματική, γίνεται σε επίπεδο ενιαίας επιχείρησης (αιτούσα επιχείρηση και τυχόν συνδεδεμένες με αυτή επιχειρήσεις), ανεξάρτητα αν υφίσταται για αυτές υποχρέωση σύνταξης ενοποιημένων οικονομικών καταστάσεων)</w:t>
      </w:r>
    </w:p>
    <w:p w14:paraId="3B71317C" w14:textId="77777777" w:rsidR="00C5756E" w:rsidRPr="00FE02F5" w:rsidRDefault="00C5756E" w:rsidP="00C5756E">
      <w:pPr>
        <w:spacing w:line="276" w:lineRule="auto"/>
        <w:rPr>
          <w:rFonts w:ascii="Verdana" w:hAnsi="Verdana" w:cs="Arial"/>
          <w:lang w:val="el-GR"/>
        </w:rPr>
      </w:pPr>
    </w:p>
    <w:p w14:paraId="00843DFD"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Β) Τα δικαιολογητικά που απαιτούνται προκειμένου να αξιολογηθεί εάν μία επιχείρηση είναι προβληματική σύμφωνα με τα οριζόμενα στο άρθρο 2 σημείο 18  του Καν. 651/2014 και πρέπει να προσκομισθούν ανάλογα με την ιδιότητα της επιχείρησης και τα έτη λειτουργίας της είναι τα ακόλουθα:</w:t>
      </w:r>
    </w:p>
    <w:p w14:paraId="6C4AC183" w14:textId="77777777" w:rsidR="00C5756E" w:rsidRPr="00FE02F5" w:rsidRDefault="00C5756E" w:rsidP="00C5756E">
      <w:pPr>
        <w:spacing w:line="276" w:lineRule="auto"/>
        <w:rPr>
          <w:rFonts w:ascii="Verdana" w:hAnsi="Verdana" w:cs="Arial"/>
          <w:lang w:val="el-GR"/>
        </w:rPr>
      </w:pPr>
    </w:p>
    <w:p w14:paraId="0AEEBE0C"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1.</w:t>
      </w:r>
      <w:r w:rsidRPr="00FE02F5">
        <w:rPr>
          <w:rFonts w:ascii="Verdana" w:hAnsi="Verdana" w:cs="Arial"/>
          <w:lang w:val="el-GR"/>
        </w:rPr>
        <w:tab/>
        <w:t>Υφιστάμενη ΜΜΕ κάτω της τριετίας ατομικής μορφής:</w:t>
      </w:r>
    </w:p>
    <w:p w14:paraId="03FD9054"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w:t>
      </w:r>
      <w:r w:rsidRPr="000634F2">
        <w:rPr>
          <w:rFonts w:ascii="Verdana" w:hAnsi="Verdana" w:cs="Arial"/>
          <w:lang w:val="el-GR"/>
        </w:rPr>
        <w:t>,</w:t>
      </w:r>
      <w:r>
        <w:rPr>
          <w:rFonts w:ascii="Verdana" w:hAnsi="Verdana" w:cs="Arial"/>
          <w:lang w:val="el-GR"/>
        </w:rPr>
        <w:t xml:space="preserve"> ότι</w:t>
      </w:r>
      <w:r w:rsidRPr="00FE02F5">
        <w:rPr>
          <w:rFonts w:ascii="Verdana" w:hAnsi="Verdana" w:cs="Arial"/>
          <w:lang w:val="el-GR"/>
        </w:rPr>
        <w:t xml:space="preserve"> </w:t>
      </w:r>
      <w:r w:rsidRPr="007A4BBB">
        <w:rPr>
          <w:rFonts w:ascii="Verdana" w:hAnsi="Verdana" w:cs="Arial"/>
          <w:lang w:val="el-GR"/>
        </w:rPr>
        <w:t>δεν έχει κάνει αίτημα για υπαγωγή στην διαδικασία του άρθρου 99 ΠτΚ</w:t>
      </w:r>
      <w:r>
        <w:rPr>
          <w:rFonts w:ascii="Verdana" w:hAnsi="Verdana" w:cs="Arial"/>
          <w:lang w:val="el-GR"/>
        </w:rPr>
        <w:t>,</w:t>
      </w:r>
      <w:r w:rsidRPr="007A4BBB">
        <w:rPr>
          <w:rFonts w:ascii="Verdana" w:hAnsi="Verdana" w:cs="Arial"/>
          <w:lang w:val="el-GR"/>
        </w:rPr>
        <w:t xml:space="preserve"> </w:t>
      </w:r>
      <w:r>
        <w:rPr>
          <w:rFonts w:ascii="Verdana" w:hAnsi="Verdana" w:cs="Arial"/>
          <w:lang w:val="el-GR"/>
        </w:rPr>
        <w:t>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r>
        <w:rPr>
          <w:rFonts w:ascii="Verdana" w:hAnsi="Verdana" w:cs="Arial"/>
          <w:lang w:val="el-GR"/>
        </w:rPr>
        <w:t>.</w:t>
      </w:r>
    </w:p>
    <w:p w14:paraId="3196A24F" w14:textId="77777777" w:rsidR="00C5756E" w:rsidRPr="00FE02F5" w:rsidRDefault="00C5756E" w:rsidP="00C5756E">
      <w:pPr>
        <w:spacing w:line="276" w:lineRule="auto"/>
        <w:rPr>
          <w:rFonts w:ascii="Verdana" w:hAnsi="Verdana" w:cs="Arial"/>
          <w:lang w:val="el-GR"/>
        </w:rPr>
      </w:pPr>
    </w:p>
    <w:p w14:paraId="7ADD8896"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2.</w:t>
      </w:r>
      <w:r w:rsidRPr="00FE02F5">
        <w:rPr>
          <w:rFonts w:ascii="Verdana" w:hAnsi="Verdana" w:cs="Arial"/>
          <w:lang w:val="el-GR"/>
        </w:rPr>
        <w:tab/>
        <w:t>Λοιπές υφιστάμενες επιχειρήσεις ατομικής μορφής ανεξαρτήτου χρόνου λειτουργίας με βιβλία Γ κατηγορίας:</w:t>
      </w:r>
    </w:p>
    <w:p w14:paraId="1FCDE52B" w14:textId="77777777"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w:t>
      </w:r>
      <w:r w:rsidRPr="007A4BBB">
        <w:rPr>
          <w:rFonts w:ascii="Verdana" w:hAnsi="Verdana" w:cs="Arial"/>
          <w:lang w:val="el-GR"/>
        </w:rPr>
        <w:t>ότι δεν έχει κάνει αίτημα για υπαγωγή στην διαδικασία του άρθρου 99 ΠτΚ</w:t>
      </w:r>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p>
    <w:p w14:paraId="38DD7412" w14:textId="77777777" w:rsidR="00C5756E" w:rsidRPr="00AC5E99" w:rsidRDefault="00C5756E" w:rsidP="00C5756E">
      <w:pPr>
        <w:spacing w:line="276" w:lineRule="auto"/>
        <w:rPr>
          <w:rFonts w:ascii="Verdana" w:hAnsi="Verdana" w:cs="Arial"/>
          <w:lang w:val="el-GR"/>
        </w:rPr>
      </w:pPr>
      <w:r w:rsidRPr="00AC5E99">
        <w:rPr>
          <w:rFonts w:ascii="Verdana" w:hAnsi="Verdana" w:cs="Arial"/>
          <w:lang w:val="el-GR"/>
        </w:rPr>
        <w:t>b.</w:t>
      </w:r>
      <w:r w:rsidRPr="00AC5E99">
        <w:rPr>
          <w:rFonts w:ascii="Verdana" w:hAnsi="Verdana" w:cs="Arial"/>
          <w:lang w:val="el-GR"/>
        </w:rPr>
        <w:tab/>
        <w:t>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w:t>
      </w:r>
      <w:r w:rsidR="008707DA" w:rsidRPr="008707DA">
        <w:rPr>
          <w:rFonts w:ascii="Verdana" w:hAnsi="Verdana" w:cs="Arial"/>
          <w:lang w:val="el-GR"/>
        </w:rPr>
        <w:t>(</w:t>
      </w:r>
      <w:r w:rsidR="008707DA">
        <w:rPr>
          <w:rFonts w:ascii="Verdana" w:hAnsi="Verdana" w:cs="Arial"/>
          <w:lang w:val="el-GR"/>
        </w:rPr>
        <w:t>Μόνο για μεγάλες επιχ.)</w:t>
      </w:r>
    </w:p>
    <w:p w14:paraId="22BA9B07" w14:textId="77777777" w:rsidR="00C5756E" w:rsidRPr="00FE02F5" w:rsidRDefault="00C5756E" w:rsidP="00C5756E">
      <w:pPr>
        <w:spacing w:line="276" w:lineRule="auto"/>
        <w:rPr>
          <w:rFonts w:ascii="Verdana" w:hAnsi="Verdana" w:cs="Arial"/>
          <w:lang w:val="el-GR"/>
        </w:rPr>
      </w:pPr>
      <w:r>
        <w:rPr>
          <w:rFonts w:ascii="Verdana" w:hAnsi="Verdana" w:cs="Arial"/>
          <w:lang w:val="el-GR"/>
        </w:rPr>
        <w:t xml:space="preserve"> </w:t>
      </w:r>
    </w:p>
    <w:p w14:paraId="6BDA0FC4"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3.</w:t>
      </w:r>
      <w:r w:rsidRPr="00FE02F5">
        <w:rPr>
          <w:rFonts w:ascii="Verdana" w:hAnsi="Verdana" w:cs="Arial"/>
          <w:lang w:val="el-GR"/>
        </w:rPr>
        <w:tab/>
        <w:t>Λοιπές υφιστάμενες επιχειρήσεις ατομικής μορφής ανεξαρτήτου χρόνου λειτουργίας με βιβλία όχι Γ κατηγορίας:</w:t>
      </w:r>
    </w:p>
    <w:p w14:paraId="279BC332" w14:textId="77777777" w:rsidR="00C5756E"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 xml:space="preserve">Για τον έλεγχο του εδαφίου (γ) του ως άνω σημείου Πιστοποιητικό αρμόδιας δικαστικής ή διοικητικής αρχής, έκδοσης του τελευταίου εξαμήνου  από το οποίο να προκύπτει ότι δεν τελούν σε πτώχευση, ότι δεν τελούν σε διαδικασία κήρυξης πτώχευσης, πτωχευτικό συμβιβασμό, διαδικασία κήρυξης σε πτωχευτικό συμβιβασμό, ότι δεν τελούν υπό αναγκαστική διαχείριση και διαδικασία έκδοσης απόφασης αναγκαστικής διαχείρισης </w:t>
      </w:r>
      <w:r w:rsidRPr="007A4BBB">
        <w:rPr>
          <w:rFonts w:ascii="Verdana" w:hAnsi="Verdana" w:cs="Arial"/>
          <w:lang w:val="el-GR"/>
        </w:rPr>
        <w:t xml:space="preserve">ότι δεν έχει κάνει αίτημα για υπαγωγή στην </w:t>
      </w:r>
      <w:r w:rsidRPr="007A4BBB">
        <w:rPr>
          <w:rFonts w:ascii="Verdana" w:hAnsi="Verdana" w:cs="Arial"/>
          <w:lang w:val="el-GR"/>
        </w:rPr>
        <w:lastRenderedPageBreak/>
        <w:t>διαδικασία του άρθρου 99 ΠτΚ</w:t>
      </w:r>
      <w:r w:rsidRPr="00C47D23">
        <w:rPr>
          <w:rFonts w:ascii="Verdana" w:hAnsi="Verdana" w:cs="Arial"/>
          <w:lang w:val="el-GR"/>
        </w:rPr>
        <w:t>, εφόσον ασκεί εμπορική δραστηριότητα,</w:t>
      </w:r>
      <w:r w:rsidRPr="007A4BBB">
        <w:rPr>
          <w:rFonts w:ascii="Verdana" w:hAnsi="Verdana" w:cs="Arial"/>
          <w:lang w:val="el-GR"/>
        </w:rPr>
        <w:t xml:space="preserve"> καθώς και ότι δεν έχει υποβληθεί κατά της επιχείρησης αίτημα για υπαγωγή στην πτωχευτική διαδικασία</w:t>
      </w:r>
    </w:p>
    <w:p w14:paraId="1D9C2BB5" w14:textId="77777777" w:rsidR="00C5756E" w:rsidRPr="008707DA" w:rsidRDefault="00C5756E" w:rsidP="00C5756E">
      <w:pPr>
        <w:spacing w:line="276" w:lineRule="auto"/>
        <w:rPr>
          <w:rFonts w:ascii="Verdana" w:hAnsi="Verdana" w:cs="Arial"/>
          <w:lang w:val="el-GR"/>
        </w:rPr>
      </w:pPr>
      <w:r w:rsidRPr="007A4BBB">
        <w:rPr>
          <w:rFonts w:ascii="Verdana" w:hAnsi="Verdana" w:cs="Arial"/>
          <w:lang w:val="el-GR"/>
        </w:rPr>
        <w:t xml:space="preserve"> </w:t>
      </w:r>
      <w:r w:rsidRPr="00AC5E99">
        <w:rPr>
          <w:rFonts w:ascii="Verdana" w:hAnsi="Verdana" w:cs="Arial"/>
          <w:lang w:val="el-GR"/>
        </w:rPr>
        <w:t>b.</w:t>
      </w:r>
      <w:r w:rsidRPr="00AC5E99">
        <w:rPr>
          <w:rFonts w:ascii="Verdana" w:hAnsi="Verdana" w:cs="Arial"/>
          <w:lang w:val="el-GR"/>
        </w:rPr>
        <w:tab/>
        <w:t>Για τον έλεγχο του εδαφίου (α) ή (β)  του ως άνω σημείου Βεβαίωση έναρξης επιτηδεύματος από την αρμόδια Οικονομική Αρχή (Δ.Ο.Υ.) και   Δηλώσεις Φορολογίας Εισοδήματος Ε3 των τριών  τελευταίων κλεισμένων διαχειριστικών χρήσεων  ή όσων εξ αυτών υπάρχουν.</w:t>
      </w:r>
      <w:r w:rsidR="008707DA">
        <w:rPr>
          <w:rFonts w:ascii="Verdana" w:hAnsi="Verdana" w:cs="Arial"/>
          <w:lang w:val="el-GR"/>
        </w:rPr>
        <w:t xml:space="preserve"> </w:t>
      </w:r>
      <w:r w:rsidR="008707DA" w:rsidRPr="00C26CAA">
        <w:rPr>
          <w:rFonts w:ascii="Verdana" w:hAnsi="Verdana" w:cs="Arial"/>
          <w:lang w:val="el-GR"/>
        </w:rPr>
        <w:t>(</w:t>
      </w:r>
      <w:r w:rsidR="008707DA">
        <w:rPr>
          <w:rFonts w:ascii="Verdana" w:hAnsi="Verdana" w:cs="Arial"/>
          <w:lang w:val="el-GR"/>
        </w:rPr>
        <w:t>Μόνο για μεγάλες επιχ.)</w:t>
      </w:r>
    </w:p>
    <w:p w14:paraId="0B4590BB" w14:textId="77777777" w:rsidR="00C5756E" w:rsidRPr="00FE02F5" w:rsidRDefault="00C5756E" w:rsidP="00C5756E">
      <w:pPr>
        <w:spacing w:line="276" w:lineRule="auto"/>
        <w:rPr>
          <w:rFonts w:ascii="Verdana" w:hAnsi="Verdana" w:cs="Arial"/>
          <w:lang w:val="el-GR"/>
        </w:rPr>
      </w:pPr>
    </w:p>
    <w:p w14:paraId="06CDFE79"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4.</w:t>
      </w:r>
      <w:r w:rsidRPr="00FE02F5">
        <w:rPr>
          <w:rFonts w:ascii="Verdana" w:hAnsi="Verdana" w:cs="Arial"/>
          <w:lang w:val="el-GR"/>
        </w:rPr>
        <w:tab/>
        <w:t>Υφιστάμενη ΜΜΕ κάτω της τριετίας άλλης νομικής μορφής πλην ατομικής:</w:t>
      </w:r>
    </w:p>
    <w:p w14:paraId="27A825B3"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78BB1146"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w:t>
      </w:r>
    </w:p>
    <w:p w14:paraId="3B92B50C"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w:t>
      </w:r>
      <w:r>
        <w:rPr>
          <w:rFonts w:ascii="Verdana" w:hAnsi="Verdana" w:cs="Arial"/>
          <w:lang w:val="el-GR"/>
        </w:rPr>
        <w:t xml:space="preserve"> </w:t>
      </w:r>
      <w:r w:rsidRPr="007A4BBB">
        <w:rPr>
          <w:rFonts w:ascii="Verdana" w:hAnsi="Verdana" w:cs="Arial"/>
          <w:lang w:val="el-GR"/>
        </w:rPr>
        <w:t>καθώς και ότι δεν έχει υποβληθεί κατά της επιχείρησης αίτημα για υπαγωγή στην πτωχευτική διαδικασία</w:t>
      </w:r>
      <w:r w:rsidRPr="00FE02F5">
        <w:rPr>
          <w:rFonts w:ascii="Verdana" w:hAnsi="Verdana" w:cs="Arial"/>
          <w:lang w:val="el-GR"/>
        </w:rPr>
        <w:t xml:space="preserve">. </w:t>
      </w:r>
    </w:p>
    <w:p w14:paraId="063868B3" w14:textId="77777777" w:rsidR="00C5756E" w:rsidRPr="00FE02F5" w:rsidRDefault="00C5756E" w:rsidP="00C5756E">
      <w:pPr>
        <w:spacing w:line="276" w:lineRule="auto"/>
        <w:rPr>
          <w:rFonts w:ascii="Verdana" w:hAnsi="Verdana" w:cs="Arial"/>
          <w:lang w:val="el-GR"/>
        </w:rPr>
      </w:pPr>
    </w:p>
    <w:p w14:paraId="3D155E9D"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5.</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Γ κατηγορίας:</w:t>
      </w:r>
    </w:p>
    <w:p w14:paraId="77DB80BA"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3AE65BA7"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14:paraId="3256E7B7"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14:paraId="4B042D59"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 xml:space="preserve">Για τον έλεγχο του εδαφίου (α) ή (β)  του ως άνω σημείου ισολογισμούς τελευταίων τριών διαχειριστικών χρήσεων ή όσων εξ αυτών υπάρχουν. Από τα εν λόγω στοιχεία θα λαμβάνεται σαν Εγγεγραμμένο Κεφάλαιο το Σύνολο των Ιδίων Κεφαλαίων Ισολογισμού και σαν Απώλειες οι Ζημίες βάση Κ.Α.Χ. </w:t>
      </w:r>
    </w:p>
    <w:p w14:paraId="7A4C8F50" w14:textId="77777777" w:rsidR="00C5756E" w:rsidRPr="00FE02F5" w:rsidRDefault="00C5756E" w:rsidP="00C5756E">
      <w:pPr>
        <w:spacing w:line="276" w:lineRule="auto"/>
        <w:rPr>
          <w:rFonts w:ascii="Verdana" w:hAnsi="Verdana" w:cs="Arial"/>
          <w:lang w:val="el-GR"/>
        </w:rPr>
      </w:pPr>
    </w:p>
    <w:p w14:paraId="6622E40D"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6.</w:t>
      </w:r>
      <w:r w:rsidRPr="00FE02F5">
        <w:rPr>
          <w:rFonts w:ascii="Verdana" w:hAnsi="Verdana" w:cs="Arial"/>
          <w:lang w:val="el-GR"/>
        </w:rPr>
        <w:tab/>
        <w:t>Λοιπές υφιστάμενες επιχειρήσεις άλλης νομικής μορφής πλην ατομικής ανεξαρτήτου χρόνου λειτουργίας με βιβλία όχι Γ κατηγορίας:</w:t>
      </w:r>
    </w:p>
    <w:p w14:paraId="6393A774"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a.</w:t>
      </w:r>
      <w:r w:rsidRPr="00FE02F5">
        <w:rPr>
          <w:rFonts w:ascii="Verdana" w:hAnsi="Verdana" w:cs="Arial"/>
          <w:lang w:val="el-GR"/>
        </w:rPr>
        <w:tab/>
        <w:t>Για τον έλεγχο του εδαφίου (γ) Πιστοποιητικό αρμόδιας δικαστικής ή διοικητικής αρχής, έκδοσης του τελευταίου εξαμήνου  από το οποίο να προκύπτει ότι δεν τελούν υπό κοινή εκκαθάριση του Κ.Ν. 2190/1920 όπως εκάστοτε ισχύει και/ή</w:t>
      </w:r>
    </w:p>
    <w:p w14:paraId="328BFA16"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lastRenderedPageBreak/>
        <w:t>b.</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του ν.1892/1990 όπως εκάστοτε ισχύει και/ή </w:t>
      </w:r>
    </w:p>
    <w:p w14:paraId="3F05FBE1"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c.</w:t>
      </w:r>
      <w:r w:rsidRPr="00FE02F5">
        <w:rPr>
          <w:rFonts w:ascii="Verdana" w:hAnsi="Verdana" w:cs="Arial"/>
          <w:lang w:val="el-GR"/>
        </w:rPr>
        <w:tab/>
        <w:t xml:space="preserve">Πιστοποιητικό αρμόδιας δικαστικής ή διοικητικής αρχής, έκδοσης του τελευταίου εξαμήνου  από το οποίο να προκύπτει ότι δεν τελούν υπό ειδική εκκαθάριση σε λειτουργία του άρθρου 106ια του Πτωχευτικού Κώδικα ούτε σε καθεστώς προπτωχευτικής διαδικασίας εξυγίανσης του άρθρου 99 του Πτωχευτικού Κώδικα </w:t>
      </w:r>
      <w:r w:rsidRPr="007A4BBB">
        <w:rPr>
          <w:rFonts w:ascii="Verdana" w:hAnsi="Verdana" w:cs="Arial"/>
          <w:lang w:val="el-GR"/>
        </w:rPr>
        <w:t xml:space="preserve">καθώς και ότι δεν έχει υποβληθεί κατά της επιχείρησης αίτημα για υπαγωγή στην πτωχευτική διαδικασία </w:t>
      </w:r>
      <w:r w:rsidRPr="00FE02F5">
        <w:rPr>
          <w:rFonts w:ascii="Verdana" w:hAnsi="Verdana" w:cs="Arial"/>
          <w:lang w:val="el-GR"/>
        </w:rPr>
        <w:t xml:space="preserve">και </w:t>
      </w:r>
    </w:p>
    <w:p w14:paraId="639CB111"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d.</w:t>
      </w:r>
      <w:r w:rsidRPr="00FE02F5">
        <w:rPr>
          <w:rFonts w:ascii="Verdana" w:hAnsi="Verdana" w:cs="Arial"/>
          <w:lang w:val="el-GR"/>
        </w:rPr>
        <w:tab/>
        <w:t>Για τον έλεγχο του εδαφίου (α) ή (β)  του ως άνω σημείου το πιο πρόσφατο κωδικοποιημένο καταστατικό και οι τυχόν μεταγενέστερες  τροποποιήσεις αυτού, μαζί με τα αντίστοιχα ΦΕΚ  δημοσίευσης  όπου  αυτή προβλέπεται  και   Δηλώσεις Φορολογίας Εισοδήματος Ε3 των τριών  τελευταίων κλεισμένων διαχειριστικών χρήσεων  ή όσων εξ αυτών υπάρχουν.</w:t>
      </w:r>
    </w:p>
    <w:p w14:paraId="0D41BA36" w14:textId="77777777" w:rsidR="00C5756E" w:rsidRPr="00FE02F5" w:rsidRDefault="00C5756E" w:rsidP="00C5756E">
      <w:pPr>
        <w:spacing w:line="276" w:lineRule="auto"/>
        <w:rPr>
          <w:rFonts w:ascii="Verdana" w:hAnsi="Verdana" w:cs="Arial"/>
          <w:lang w:val="el-GR"/>
        </w:rPr>
      </w:pPr>
    </w:p>
    <w:p w14:paraId="2D9165B6" w14:textId="77777777" w:rsidR="00C5756E" w:rsidRPr="00FE02F5" w:rsidRDefault="00C5756E" w:rsidP="00C5756E">
      <w:pPr>
        <w:spacing w:line="276" w:lineRule="auto"/>
        <w:rPr>
          <w:rFonts w:ascii="Verdana" w:hAnsi="Verdana" w:cs="Arial"/>
          <w:lang w:val="el-GR"/>
        </w:rPr>
      </w:pPr>
      <w:r w:rsidRPr="00FE02F5">
        <w:rPr>
          <w:rFonts w:ascii="Verdana" w:hAnsi="Verdana" w:cs="Arial"/>
          <w:lang w:val="el-GR"/>
        </w:rPr>
        <w:t>7.</w:t>
      </w:r>
      <w:r w:rsidRPr="00FE02F5">
        <w:rPr>
          <w:rFonts w:ascii="Verdana" w:hAnsi="Verdana" w:cs="Arial"/>
          <w:lang w:val="el-GR"/>
        </w:rPr>
        <w:tab/>
        <w:t>Το σύνολο των επιχειρήσεων θα δηλώνουν υπευθύνως ότι: «Η επιχείρηση δεν έχει λάβει ενίσχυση διάσωσης ή αναδιάρθρωσης, ή η επιχείρηση έχει λάβει ενίσχυση διάσωσης αλλά έχει αποπληρώσει το δάνειο και έχει λύσει τη σύμβαση εγγύησης ή η επιχείρηση έχει λάβει ενίσχυση αναδιάρθρωσης η οποία έχει ολοκληρωθεί.».</w:t>
      </w:r>
    </w:p>
    <w:p w14:paraId="3DF7C485" w14:textId="77777777" w:rsidR="00CA4C4D" w:rsidRPr="00C5756E" w:rsidRDefault="00CA4C4D">
      <w:pPr>
        <w:rPr>
          <w:lang w:val="el-GR"/>
        </w:rPr>
      </w:pPr>
    </w:p>
    <w:sectPr w:rsidR="00CA4C4D" w:rsidRPr="00C5756E">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2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7456AC"/>
    <w:multiLevelType w:val="multilevel"/>
    <w:tmpl w:val="C5641F64"/>
    <w:lvl w:ilvl="0">
      <w:numFmt w:val="decimal"/>
      <w:pStyle w:val="1"/>
      <w:lvlText w:val=""/>
      <w:lvlJc w:val="left"/>
    </w:lvl>
    <w:lvl w:ilvl="1">
      <w:numFmt w:val="decimal"/>
      <w:pStyle w:val="2"/>
      <w:lvlText w:val=""/>
      <w:lvlJc w:val="left"/>
    </w:lvl>
    <w:lvl w:ilvl="2">
      <w:numFmt w:val="decimal"/>
      <w:pStyle w:val="3"/>
      <w:lvlText w:val=""/>
      <w:lvlJc w:val="left"/>
    </w:lvl>
    <w:lvl w:ilvl="3">
      <w:numFmt w:val="decimal"/>
      <w:lvlText w:val=""/>
      <w:lvlJc w:val="left"/>
    </w:lvl>
    <w:lvl w:ilvl="4">
      <w:numFmt w:val="decimal"/>
      <w:pStyle w:val="5"/>
      <w:lvlText w:val=""/>
      <w:lvlJc w:val="left"/>
    </w:lvl>
    <w:lvl w:ilvl="5">
      <w:numFmt w:val="decimal"/>
      <w:pStyle w:val="6"/>
      <w:lvlText w:val=""/>
      <w:lvlJc w:val="left"/>
    </w:lvl>
    <w:lvl w:ilvl="6">
      <w:numFmt w:val="decimal"/>
      <w:pStyle w:val="7"/>
      <w:lvlText w:val=""/>
      <w:lvlJc w:val="left"/>
    </w:lvl>
    <w:lvl w:ilvl="7">
      <w:numFmt w:val="decimal"/>
      <w:pStyle w:val="8"/>
      <w:lvlText w:val=""/>
      <w:lvlJc w:val="left"/>
    </w:lvl>
    <w:lvl w:ilvl="8">
      <w:numFmt w:val="decimal"/>
      <w:pStyle w:val="9"/>
      <w:lvlText w:val=""/>
      <w:lvlJc w:val="left"/>
    </w:lvl>
  </w:abstractNum>
  <w:num w:numId="1" w16cid:durableId="20171505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72446"/>
    <w:rsid w:val="004759F3"/>
    <w:rsid w:val="008707DA"/>
    <w:rsid w:val="009A165A"/>
    <w:rsid w:val="00B43390"/>
    <w:rsid w:val="00B72446"/>
    <w:rsid w:val="00C26CAA"/>
    <w:rsid w:val="00C5756E"/>
    <w:rsid w:val="00CA4C4D"/>
  </w:rsids>
  <m:mathPr>
    <m:mathFont m:val="Cambria Math"/>
    <m:brkBin m:val="before"/>
    <m:brkBinSub m:val="--"/>
    <m:smallFrac m:val="0"/>
    <m:dispDef/>
    <m:lMargin m:val="0"/>
    <m:rMargin m:val="0"/>
    <m:defJc m:val="centerGroup"/>
    <m:wrapIndent m:val="1440"/>
    <m:intLim m:val="subSup"/>
    <m:naryLim m:val="undOvr"/>
  </m:mathPr>
  <w:themeFontLang w:val="el-GR"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CED464"/>
  <w15:docId w15:val="{BC56EDD9-6D09-4E4E-8CBE-100F1674B3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5756E"/>
    <w:pPr>
      <w:suppressAutoHyphens/>
      <w:spacing w:after="0" w:line="360" w:lineRule="auto"/>
      <w:jc w:val="both"/>
    </w:pPr>
    <w:rPr>
      <w:rFonts w:ascii="Calibri" w:eastAsia="Times New Roman" w:hAnsi="Calibri" w:cs="Times New Roman"/>
      <w:sz w:val="20"/>
      <w:szCs w:val="24"/>
      <w:lang w:val="en-GB" w:eastAsia="ar-SA"/>
    </w:rPr>
  </w:style>
  <w:style w:type="paragraph" w:styleId="1">
    <w:name w:val="heading 1"/>
    <w:basedOn w:val="a"/>
    <w:next w:val="a"/>
    <w:link w:val="1Char"/>
    <w:qFormat/>
    <w:rsid w:val="00C5756E"/>
    <w:pPr>
      <w:keepNext/>
      <w:numPr>
        <w:numId w:val="1"/>
      </w:numPr>
      <w:tabs>
        <w:tab w:val="left" w:pos="7655"/>
      </w:tabs>
      <w:spacing w:before="240" w:after="60"/>
      <w:jc w:val="left"/>
      <w:outlineLvl w:val="0"/>
    </w:pPr>
    <w:rPr>
      <w:b/>
      <w:bCs/>
      <w:caps/>
      <w:kern w:val="24"/>
      <w:sz w:val="24"/>
      <w:szCs w:val="32"/>
    </w:rPr>
  </w:style>
  <w:style w:type="paragraph" w:styleId="2">
    <w:name w:val="heading 2"/>
    <w:basedOn w:val="a"/>
    <w:next w:val="a"/>
    <w:link w:val="2Char"/>
    <w:qFormat/>
    <w:rsid w:val="00C5756E"/>
    <w:pPr>
      <w:keepNext/>
      <w:numPr>
        <w:ilvl w:val="1"/>
        <w:numId w:val="1"/>
      </w:numPr>
      <w:spacing w:before="120"/>
      <w:jc w:val="left"/>
      <w:outlineLvl w:val="1"/>
    </w:pPr>
    <w:rPr>
      <w:b/>
      <w:sz w:val="22"/>
      <w:szCs w:val="20"/>
    </w:rPr>
  </w:style>
  <w:style w:type="paragraph" w:styleId="3">
    <w:name w:val="heading 3"/>
    <w:basedOn w:val="a"/>
    <w:next w:val="a"/>
    <w:link w:val="3Char"/>
    <w:qFormat/>
    <w:rsid w:val="00C5756E"/>
    <w:pPr>
      <w:keepNext/>
      <w:numPr>
        <w:ilvl w:val="2"/>
        <w:numId w:val="1"/>
      </w:numPr>
      <w:spacing w:before="240" w:after="60"/>
      <w:outlineLvl w:val="2"/>
    </w:pPr>
    <w:rPr>
      <w:b/>
      <w:bCs/>
      <w:sz w:val="22"/>
      <w:szCs w:val="26"/>
    </w:rPr>
  </w:style>
  <w:style w:type="paragraph" w:styleId="5">
    <w:name w:val="heading 5"/>
    <w:basedOn w:val="a"/>
    <w:next w:val="a"/>
    <w:link w:val="5Char"/>
    <w:qFormat/>
    <w:rsid w:val="00C5756E"/>
    <w:pPr>
      <w:numPr>
        <w:ilvl w:val="4"/>
        <w:numId w:val="1"/>
      </w:numPr>
      <w:spacing w:before="240" w:after="60"/>
      <w:outlineLvl w:val="4"/>
    </w:pPr>
    <w:rPr>
      <w:b/>
      <w:bCs/>
      <w:i/>
      <w:iCs/>
      <w:sz w:val="26"/>
      <w:szCs w:val="26"/>
    </w:rPr>
  </w:style>
  <w:style w:type="paragraph" w:styleId="6">
    <w:name w:val="heading 6"/>
    <w:basedOn w:val="a"/>
    <w:next w:val="a"/>
    <w:link w:val="6Char"/>
    <w:qFormat/>
    <w:rsid w:val="00C5756E"/>
    <w:pPr>
      <w:numPr>
        <w:ilvl w:val="5"/>
        <w:numId w:val="1"/>
      </w:numPr>
      <w:spacing w:before="240" w:after="60"/>
      <w:outlineLvl w:val="5"/>
    </w:pPr>
    <w:rPr>
      <w:b/>
      <w:bCs/>
      <w:sz w:val="22"/>
      <w:szCs w:val="22"/>
    </w:rPr>
  </w:style>
  <w:style w:type="paragraph" w:styleId="7">
    <w:name w:val="heading 7"/>
    <w:basedOn w:val="a"/>
    <w:next w:val="a"/>
    <w:link w:val="7Char"/>
    <w:qFormat/>
    <w:rsid w:val="00C5756E"/>
    <w:pPr>
      <w:numPr>
        <w:ilvl w:val="6"/>
        <w:numId w:val="1"/>
      </w:numPr>
      <w:spacing w:before="240" w:after="60"/>
      <w:outlineLvl w:val="6"/>
    </w:pPr>
  </w:style>
  <w:style w:type="paragraph" w:styleId="8">
    <w:name w:val="heading 8"/>
    <w:basedOn w:val="a"/>
    <w:next w:val="a"/>
    <w:link w:val="8Char"/>
    <w:qFormat/>
    <w:rsid w:val="00C5756E"/>
    <w:pPr>
      <w:numPr>
        <w:ilvl w:val="7"/>
        <w:numId w:val="1"/>
      </w:numPr>
      <w:spacing w:before="240" w:after="60"/>
      <w:outlineLvl w:val="7"/>
    </w:pPr>
    <w:rPr>
      <w:i/>
      <w:iCs/>
    </w:rPr>
  </w:style>
  <w:style w:type="paragraph" w:styleId="9">
    <w:name w:val="heading 9"/>
    <w:basedOn w:val="a"/>
    <w:next w:val="a"/>
    <w:link w:val="9Char"/>
    <w:qFormat/>
    <w:rsid w:val="00C5756E"/>
    <w:pPr>
      <w:numPr>
        <w:ilvl w:val="8"/>
        <w:numId w:val="1"/>
      </w:numPr>
      <w:spacing w:before="240" w:after="60"/>
      <w:outlineLvl w:val="8"/>
    </w:pPr>
    <w:rPr>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C5756E"/>
    <w:rPr>
      <w:rFonts w:ascii="Calibri" w:eastAsia="Times New Roman" w:hAnsi="Calibri" w:cs="Times New Roman"/>
      <w:b/>
      <w:bCs/>
      <w:caps/>
      <w:kern w:val="24"/>
      <w:sz w:val="24"/>
      <w:szCs w:val="32"/>
      <w:lang w:val="en-GB" w:eastAsia="ar-SA"/>
    </w:rPr>
  </w:style>
  <w:style w:type="character" w:customStyle="1" w:styleId="2Char">
    <w:name w:val="Επικεφαλίδα 2 Char"/>
    <w:basedOn w:val="a0"/>
    <w:link w:val="2"/>
    <w:rsid w:val="00C5756E"/>
    <w:rPr>
      <w:rFonts w:ascii="Calibri" w:eastAsia="Times New Roman" w:hAnsi="Calibri" w:cs="Times New Roman"/>
      <w:b/>
      <w:szCs w:val="20"/>
      <w:lang w:val="en-GB" w:eastAsia="ar-SA"/>
    </w:rPr>
  </w:style>
  <w:style w:type="character" w:customStyle="1" w:styleId="3Char">
    <w:name w:val="Επικεφαλίδα 3 Char"/>
    <w:basedOn w:val="a0"/>
    <w:link w:val="3"/>
    <w:rsid w:val="00C5756E"/>
    <w:rPr>
      <w:rFonts w:ascii="Calibri" w:eastAsia="Times New Roman" w:hAnsi="Calibri" w:cs="Times New Roman"/>
      <w:b/>
      <w:bCs/>
      <w:szCs w:val="26"/>
      <w:lang w:val="en-GB" w:eastAsia="ar-SA"/>
    </w:rPr>
  </w:style>
  <w:style w:type="character" w:customStyle="1" w:styleId="5Char">
    <w:name w:val="Επικεφαλίδα 5 Char"/>
    <w:basedOn w:val="a0"/>
    <w:link w:val="5"/>
    <w:rsid w:val="00C5756E"/>
    <w:rPr>
      <w:rFonts w:ascii="Calibri" w:eastAsia="Times New Roman" w:hAnsi="Calibri" w:cs="Times New Roman"/>
      <w:b/>
      <w:bCs/>
      <w:i/>
      <w:iCs/>
      <w:sz w:val="26"/>
      <w:szCs w:val="26"/>
      <w:lang w:val="en-GB" w:eastAsia="ar-SA"/>
    </w:rPr>
  </w:style>
  <w:style w:type="character" w:customStyle="1" w:styleId="6Char">
    <w:name w:val="Επικεφαλίδα 6 Char"/>
    <w:basedOn w:val="a0"/>
    <w:link w:val="6"/>
    <w:rsid w:val="00C5756E"/>
    <w:rPr>
      <w:rFonts w:ascii="Calibri" w:eastAsia="Times New Roman" w:hAnsi="Calibri" w:cs="Times New Roman"/>
      <w:b/>
      <w:bCs/>
      <w:lang w:val="en-GB" w:eastAsia="ar-SA"/>
    </w:rPr>
  </w:style>
  <w:style w:type="character" w:customStyle="1" w:styleId="7Char">
    <w:name w:val="Επικεφαλίδα 7 Char"/>
    <w:basedOn w:val="a0"/>
    <w:link w:val="7"/>
    <w:rsid w:val="00C5756E"/>
    <w:rPr>
      <w:rFonts w:ascii="Calibri" w:eastAsia="Times New Roman" w:hAnsi="Calibri" w:cs="Times New Roman"/>
      <w:sz w:val="20"/>
      <w:szCs w:val="24"/>
      <w:lang w:val="en-GB" w:eastAsia="ar-SA"/>
    </w:rPr>
  </w:style>
  <w:style w:type="character" w:customStyle="1" w:styleId="8Char">
    <w:name w:val="Επικεφαλίδα 8 Char"/>
    <w:basedOn w:val="a0"/>
    <w:link w:val="8"/>
    <w:rsid w:val="00C5756E"/>
    <w:rPr>
      <w:rFonts w:ascii="Calibri" w:eastAsia="Times New Roman" w:hAnsi="Calibri" w:cs="Times New Roman"/>
      <w:i/>
      <w:iCs/>
      <w:sz w:val="20"/>
      <w:szCs w:val="24"/>
      <w:lang w:val="en-GB" w:eastAsia="ar-SA"/>
    </w:rPr>
  </w:style>
  <w:style w:type="character" w:customStyle="1" w:styleId="9Char">
    <w:name w:val="Επικεφαλίδα 9 Char"/>
    <w:basedOn w:val="a0"/>
    <w:link w:val="9"/>
    <w:rsid w:val="00C5756E"/>
    <w:rPr>
      <w:rFonts w:ascii="Calibri" w:eastAsia="Times New Roman" w:hAnsi="Calibri" w:cs="Times New Roman"/>
      <w:lang w:val="en-GB" w:eastAsia="ar-SA"/>
    </w:rPr>
  </w:style>
  <w:style w:type="character" w:styleId="a3">
    <w:name w:val="annotation reference"/>
    <w:uiPriority w:val="99"/>
    <w:unhideWhenUsed/>
    <w:rsid w:val="00C5756E"/>
    <w:rPr>
      <w:sz w:val="16"/>
      <w:szCs w:val="16"/>
    </w:rPr>
  </w:style>
  <w:style w:type="paragraph" w:styleId="a4">
    <w:name w:val="annotation text"/>
    <w:basedOn w:val="a"/>
    <w:link w:val="Char"/>
    <w:uiPriority w:val="99"/>
    <w:rsid w:val="00C5756E"/>
    <w:rPr>
      <w:szCs w:val="20"/>
    </w:rPr>
  </w:style>
  <w:style w:type="character" w:customStyle="1" w:styleId="Char">
    <w:name w:val="Κείμενο σχολίου Char"/>
    <w:basedOn w:val="a0"/>
    <w:link w:val="a4"/>
    <w:uiPriority w:val="99"/>
    <w:rsid w:val="00C5756E"/>
    <w:rPr>
      <w:rFonts w:ascii="Calibri" w:eastAsia="Times New Roman" w:hAnsi="Calibri" w:cs="Times New Roman"/>
      <w:sz w:val="20"/>
      <w:szCs w:val="20"/>
      <w:lang w:val="en-GB" w:eastAsia="ar-SA"/>
    </w:rPr>
  </w:style>
  <w:style w:type="paragraph" w:styleId="a5">
    <w:name w:val="Balloon Text"/>
    <w:basedOn w:val="a"/>
    <w:link w:val="Char0"/>
    <w:uiPriority w:val="99"/>
    <w:semiHidden/>
    <w:unhideWhenUsed/>
    <w:rsid w:val="00C5756E"/>
    <w:pPr>
      <w:spacing w:line="240" w:lineRule="auto"/>
    </w:pPr>
    <w:rPr>
      <w:rFonts w:ascii="Tahoma" w:hAnsi="Tahoma" w:cs="Tahoma"/>
      <w:sz w:val="16"/>
      <w:szCs w:val="16"/>
    </w:rPr>
  </w:style>
  <w:style w:type="character" w:customStyle="1" w:styleId="Char0">
    <w:name w:val="Κείμενο πλαισίου Char"/>
    <w:basedOn w:val="a0"/>
    <w:link w:val="a5"/>
    <w:uiPriority w:val="99"/>
    <w:semiHidden/>
    <w:rsid w:val="00C5756E"/>
    <w:rPr>
      <w:rFonts w:ascii="Tahoma" w:eastAsia="Times New Roman" w:hAnsi="Tahoma" w:cs="Tahoma"/>
      <w:sz w:val="16"/>
      <w:szCs w:val="16"/>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4</Pages>
  <Words>1568</Words>
  <Characters>8471</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ΠΑΠΑΓΕΩΡΓΙΟΥ ΓΕΩΡΓΙΟΣ</dc:creator>
  <cp:keywords/>
  <dc:description/>
  <cp:lastModifiedBy>Χρήστος Τοπτσης</cp:lastModifiedBy>
  <cp:revision>7</cp:revision>
  <dcterms:created xsi:type="dcterms:W3CDTF">2018-04-24T10:03:00Z</dcterms:created>
  <dcterms:modified xsi:type="dcterms:W3CDTF">2023-01-31T08:31:00Z</dcterms:modified>
</cp:coreProperties>
</file>